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7D3" w:rsidRPr="00340AA1" w:rsidRDefault="00AD77D3" w:rsidP="00AD77D3">
      <w:pPr>
        <w:pStyle w:val="afb"/>
        <w:ind w:left="0" w:firstLine="0"/>
        <w:rPr>
          <w:rFonts w:ascii="Arial" w:hAnsi="Arial" w:cs="Arial"/>
          <w:bCs/>
          <w:szCs w:val="24"/>
          <w:lang w:val="en-US"/>
        </w:rPr>
      </w:pPr>
      <w:r w:rsidRPr="00340AA1">
        <w:rPr>
          <w:rFonts w:ascii="Arial" w:hAnsi="Arial" w:cs="Arial"/>
          <w:bCs/>
          <w:szCs w:val="24"/>
          <w:lang w:val="en-US"/>
        </w:rPr>
        <w:t>3GPP TSG-RAN WG4 Meeting # 99-e</w:t>
      </w:r>
      <w:r w:rsidRPr="00340AA1">
        <w:rPr>
          <w:rFonts w:ascii="Arial" w:hAnsi="Arial" w:cs="Arial"/>
          <w:bCs/>
          <w:szCs w:val="24"/>
          <w:lang w:val="en-US"/>
        </w:rPr>
        <w:tab/>
      </w:r>
      <w:r w:rsidRPr="00340AA1">
        <w:rPr>
          <w:rFonts w:ascii="Arial" w:hAnsi="Arial" w:cs="Arial" w:hint="eastAsia"/>
          <w:bCs/>
          <w:szCs w:val="24"/>
          <w:lang w:val="en-US"/>
        </w:rPr>
        <w:tab/>
        <w:t xml:space="preserve">                       </w:t>
      </w:r>
      <w:bookmarkStart w:id="0" w:name="_GoBack"/>
      <w:bookmarkEnd w:id="0"/>
      <w:r w:rsidRPr="00340AA1">
        <w:rPr>
          <w:rFonts w:ascii="Arial" w:hAnsi="Arial" w:cs="Arial"/>
          <w:bCs/>
          <w:szCs w:val="24"/>
          <w:lang w:val="en-US"/>
        </w:rPr>
        <w:t>R4-21</w:t>
      </w:r>
      <w:r w:rsidR="00817BDF">
        <w:rPr>
          <w:rFonts w:ascii="Arial" w:hAnsi="Arial" w:cs="Arial" w:hint="eastAsia"/>
          <w:bCs/>
          <w:szCs w:val="24"/>
          <w:lang w:val="en-US"/>
        </w:rPr>
        <w:t>09044</w:t>
      </w:r>
    </w:p>
    <w:p w:rsidR="00AD77D3" w:rsidRPr="00340AA1" w:rsidRDefault="00AD77D3" w:rsidP="00AD77D3">
      <w:pPr>
        <w:pStyle w:val="afb"/>
        <w:rPr>
          <w:rFonts w:ascii="Arial" w:hAnsi="Arial" w:cs="Arial"/>
          <w:bCs/>
          <w:szCs w:val="24"/>
          <w:lang w:val="en-US"/>
        </w:rPr>
      </w:pPr>
      <w:r w:rsidRPr="00340AA1">
        <w:rPr>
          <w:rFonts w:ascii="Arial" w:hAnsi="Arial" w:cs="Arial"/>
          <w:bCs/>
          <w:szCs w:val="24"/>
          <w:lang w:val="en-US"/>
        </w:rPr>
        <w:t>Electronic Meeting, May. 19-27, 2021</w:t>
      </w:r>
    </w:p>
    <w:p w:rsidR="00AD77D3" w:rsidRPr="001205FD" w:rsidRDefault="00AD77D3"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07DA7">
        <w:rPr>
          <w:rFonts w:ascii="Arial" w:hAnsi="Arial" w:cs="Arial" w:hint="eastAsia"/>
          <w:b w:val="0"/>
        </w:rPr>
        <w:t>Discussion</w:t>
      </w:r>
      <w:r w:rsidR="00C77D40">
        <w:rPr>
          <w:rFonts w:ascii="Arial" w:hAnsi="Arial" w:cs="Arial" w:hint="eastAsia"/>
          <w:b w:val="0"/>
        </w:rPr>
        <w:t xml:space="preserve"> on</w:t>
      </w:r>
      <w:r w:rsidR="00962D49" w:rsidRPr="00962D49">
        <w:rPr>
          <w:rFonts w:ascii="Arial" w:hAnsi="Arial" w:cs="Arial"/>
          <w:b w:val="0"/>
        </w:rPr>
        <w:t xml:space="preserve"> </w:t>
      </w:r>
      <w:r w:rsidR="002C27E0">
        <w:rPr>
          <w:rFonts w:ascii="Arial" w:hAnsi="Arial" w:cs="Arial" w:hint="eastAsia"/>
          <w:b w:val="0"/>
        </w:rPr>
        <w:t xml:space="preserve">time mask for NR V2X and LTE V2X switching </w:t>
      </w:r>
      <w:r w:rsidR="000F6DE3" w:rsidRPr="00962D49">
        <w:rPr>
          <w:rFonts w:ascii="Arial" w:hAnsi="Arial" w:cs="Arial"/>
          <w:b w:val="0"/>
        </w:rPr>
        <w:t>in ITS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F5E65">
        <w:rPr>
          <w:rFonts w:ascii="Arial" w:hAnsi="Arial" w:cs="Arial" w:hint="eastAsia"/>
          <w:b w:val="0"/>
        </w:rPr>
        <w:t>6.2</w:t>
      </w:r>
      <w:r w:rsidR="00672949">
        <w:rPr>
          <w:rFonts w:ascii="Arial" w:hAnsi="Arial" w:cs="Arial" w:hint="eastAsia"/>
          <w:b w:val="0"/>
        </w:rPr>
        <w:t>.</w:t>
      </w:r>
      <w:r w:rsidR="006F5E65">
        <w:rPr>
          <w:rFonts w:ascii="Arial" w:hAnsi="Arial" w:cs="Arial" w:hint="eastAsia"/>
          <w:b w:val="0"/>
        </w:rPr>
        <w:t>1</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1ED1">
        <w:rPr>
          <w:rFonts w:ascii="Arial" w:hAnsi="Arial" w:cs="Arial" w:hint="eastAsia"/>
          <w:b w:val="0"/>
        </w:rPr>
        <w:t>Approval</w:t>
      </w:r>
    </w:p>
    <w:p w:rsidR="000E6387" w:rsidRPr="006B5ED2" w:rsidRDefault="00752C60" w:rsidP="006B5ED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029C7" w:rsidRPr="00AE07E2" w:rsidRDefault="00A029C7" w:rsidP="004C4C7A">
      <w:pPr>
        <w:spacing w:before="0" w:after="120"/>
        <w:jc w:val="left"/>
        <w:rPr>
          <w:sz w:val="20"/>
        </w:rPr>
      </w:pPr>
      <w:r>
        <w:rPr>
          <w:rFonts w:hint="eastAsia"/>
          <w:sz w:val="20"/>
        </w:rPr>
        <w:t xml:space="preserve">For Rel-16 V2X RF core part, the time mask </w:t>
      </w:r>
      <w:r w:rsidR="0047261B">
        <w:rPr>
          <w:rFonts w:hint="eastAsia"/>
          <w:sz w:val="20"/>
        </w:rPr>
        <w:t xml:space="preserve">for NR V2X and LTE V2X switching in ITS band is still open for discussion. </w:t>
      </w:r>
      <w:r w:rsidR="00517DCD">
        <w:rPr>
          <w:rFonts w:hint="eastAsia"/>
          <w:sz w:val="20"/>
        </w:rPr>
        <w:t xml:space="preserve">In </w:t>
      </w:r>
      <w:r w:rsidR="00517DCD" w:rsidRPr="00E43D20">
        <w:rPr>
          <w:bCs/>
          <w:sz w:val="20"/>
        </w:rPr>
        <w:t>RAN1</w:t>
      </w:r>
      <w:r w:rsidR="00517DCD" w:rsidRPr="00E43D20">
        <w:rPr>
          <w:sz w:val="20"/>
        </w:rPr>
        <w:t>#104e</w:t>
      </w:r>
      <w:r w:rsidR="00517DCD">
        <w:rPr>
          <w:rFonts w:hint="eastAsia"/>
          <w:sz w:val="20"/>
        </w:rPr>
        <w:t xml:space="preserve"> meeting, </w:t>
      </w:r>
      <w:r w:rsidR="00E43D20">
        <w:rPr>
          <w:rFonts w:hint="eastAsia"/>
          <w:sz w:val="20"/>
        </w:rPr>
        <w:t xml:space="preserve">RAN1 </w:t>
      </w:r>
      <w:r w:rsidR="00F9168F">
        <w:rPr>
          <w:rFonts w:hint="eastAsia"/>
          <w:sz w:val="20"/>
        </w:rPr>
        <w:t xml:space="preserve">approved the reply LS [1] on SL switching priority. This contribution will further discuss the </w:t>
      </w:r>
      <w:r w:rsidR="004825FB">
        <w:rPr>
          <w:rFonts w:hint="eastAsia"/>
          <w:sz w:val="20"/>
        </w:rPr>
        <w:t>time mask for SL switching based on RAN1 reply LS.</w:t>
      </w:r>
    </w:p>
    <w:p w:rsidR="004E1A9D" w:rsidRPr="004540D0" w:rsidRDefault="004B3EE8" w:rsidP="00741ED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825FB" w:rsidRPr="004825FB" w:rsidRDefault="007A6DFC" w:rsidP="007A6DFC">
      <w:pPr>
        <w:spacing w:before="0" w:after="120"/>
        <w:jc w:val="left"/>
        <w:rPr>
          <w:sz w:val="20"/>
        </w:rPr>
      </w:pPr>
      <w:r>
        <w:rPr>
          <w:rFonts w:hint="eastAsia"/>
          <w:sz w:val="20"/>
        </w:rPr>
        <w:t xml:space="preserve">As per the </w:t>
      </w:r>
      <w:r w:rsidR="004825FB">
        <w:rPr>
          <w:rFonts w:hint="eastAsia"/>
          <w:sz w:val="20"/>
        </w:rPr>
        <w:t>reply LS</w:t>
      </w:r>
      <w:r>
        <w:rPr>
          <w:rFonts w:hint="eastAsia"/>
          <w:sz w:val="20"/>
        </w:rPr>
        <w:t xml:space="preserve"> [1], </w:t>
      </w:r>
      <w:r w:rsidR="004825FB">
        <w:rPr>
          <w:rFonts w:hint="eastAsia"/>
          <w:sz w:val="20"/>
        </w:rPr>
        <w:t>the feedback on SL switching priority from RAN1 is listed as below</w:t>
      </w:r>
      <w:r>
        <w:rPr>
          <w:rFonts w:hint="eastAsia"/>
          <w:sz w:val="20"/>
        </w:rPr>
        <w:t>:</w:t>
      </w:r>
    </w:p>
    <w:tbl>
      <w:tblPr>
        <w:tblStyle w:val="af8"/>
        <w:tblW w:w="0" w:type="auto"/>
        <w:tblLook w:val="04A0" w:firstRow="1" w:lastRow="0" w:firstColumn="1" w:lastColumn="0" w:noHBand="0" w:noVBand="1"/>
      </w:tblPr>
      <w:tblGrid>
        <w:gridCol w:w="9855"/>
      </w:tblGrid>
      <w:tr w:rsidR="002A7F14" w:rsidTr="002A7F14">
        <w:tc>
          <w:tcPr>
            <w:tcW w:w="9855" w:type="dxa"/>
          </w:tcPr>
          <w:p w:rsidR="004825FB" w:rsidRPr="004825FB" w:rsidRDefault="004825FB" w:rsidP="004825FB">
            <w:pPr>
              <w:autoSpaceDE/>
              <w:autoSpaceDN/>
              <w:adjustRightInd/>
              <w:spacing w:after="120"/>
              <w:rPr>
                <w:rFonts w:ascii="Arial" w:eastAsia="宋体" w:hAnsi="Arial" w:cs="Arial"/>
                <w:sz w:val="20"/>
              </w:rPr>
            </w:pPr>
            <w:r w:rsidRPr="004825FB">
              <w:rPr>
                <w:rFonts w:ascii="Arial" w:eastAsia="宋体" w:hAnsi="Arial" w:cs="Arial"/>
                <w:sz w:val="20"/>
              </w:rPr>
              <w:t>Question 1: Is there priority defined for LTE SL and NR SL?</w:t>
            </w:r>
          </w:p>
          <w:p w:rsidR="004825FB" w:rsidRPr="004825FB" w:rsidRDefault="004825FB" w:rsidP="004825FB">
            <w:pPr>
              <w:autoSpaceDE/>
              <w:autoSpaceDN/>
              <w:adjustRightInd/>
              <w:spacing w:after="120"/>
              <w:rPr>
                <w:rFonts w:ascii="Arial" w:eastAsia="宋体" w:hAnsi="Arial" w:cs="Arial"/>
                <w:sz w:val="20"/>
              </w:rPr>
            </w:pPr>
            <w:r w:rsidRPr="004825FB">
              <w:rPr>
                <w:rFonts w:ascii="Arial" w:eastAsia="宋体" w:hAnsi="Arial" w:cs="Arial"/>
                <w:bCs/>
                <w:sz w:val="20"/>
              </w:rPr>
              <w:t>[RAN1 reply]  Yes, priority is defined for the LTE SL in clause 4.4.5.1 of TS 23.285 and for NR SL in clause 5.4.3.3 of TS 23.287. On SL priority in RAN1, please refer to answers of Question 2 and 3.</w:t>
            </w:r>
          </w:p>
          <w:p w:rsidR="004825FB" w:rsidRPr="004825FB" w:rsidRDefault="004825FB" w:rsidP="004825FB">
            <w:pPr>
              <w:autoSpaceDE/>
              <w:autoSpaceDN/>
              <w:adjustRightInd/>
              <w:spacing w:after="120"/>
              <w:rPr>
                <w:rFonts w:ascii="Arial" w:eastAsia="宋体" w:hAnsi="Arial" w:cs="Arial"/>
                <w:sz w:val="20"/>
              </w:rPr>
            </w:pPr>
            <w:r w:rsidRPr="004825FB">
              <w:rPr>
                <w:rFonts w:ascii="Arial" w:eastAsia="宋体" w:hAnsi="Arial" w:cs="Arial"/>
                <w:sz w:val="20"/>
              </w:rPr>
              <w:t>Question 2: How does RAN WG1 define the priority of LTE SL and NR SL? For example, which parameter is used and how to determine the priority?</w:t>
            </w:r>
          </w:p>
          <w:p w:rsidR="004825FB" w:rsidRPr="004825FB" w:rsidRDefault="004825FB" w:rsidP="004825FB">
            <w:pPr>
              <w:autoSpaceDE/>
              <w:autoSpaceDN/>
              <w:adjustRightInd/>
              <w:spacing w:after="120"/>
              <w:rPr>
                <w:rFonts w:ascii="Arial" w:eastAsia="宋体" w:hAnsi="Arial" w:cs="Arial"/>
                <w:sz w:val="20"/>
              </w:rPr>
            </w:pPr>
            <w:r w:rsidRPr="004825FB">
              <w:rPr>
                <w:rFonts w:ascii="Arial" w:eastAsia="宋体" w:hAnsi="Arial" w:cs="Arial"/>
                <w:bCs/>
                <w:sz w:val="20"/>
              </w:rPr>
              <w:t>[RAN1 reply] In RAN1, priority of a PSCCH/PSSCH transmission is indicated in the “Priority” field of an SCI format 1 in LTE, or SCI format 1-</w:t>
            </w:r>
            <w:proofErr w:type="gramStart"/>
            <w:r w:rsidRPr="004825FB">
              <w:rPr>
                <w:rFonts w:ascii="Arial" w:eastAsia="宋体" w:hAnsi="Arial" w:cs="Arial"/>
                <w:bCs/>
                <w:sz w:val="20"/>
              </w:rPr>
              <w:t>A</w:t>
            </w:r>
            <w:proofErr w:type="gramEnd"/>
            <w:r w:rsidRPr="004825FB">
              <w:rPr>
                <w:rFonts w:ascii="Arial" w:eastAsia="宋体" w:hAnsi="Arial" w:cs="Arial"/>
                <w:bCs/>
                <w:sz w:val="20"/>
              </w:rPr>
              <w:t xml:space="preserve"> in NR, after being set for the transport block by higher layers. The priority of NR S-SSB or LTE PSBCH/SSSS/PSSS is </w:t>
            </w:r>
            <w:proofErr w:type="gramStart"/>
            <w:r w:rsidRPr="004825FB">
              <w:rPr>
                <w:rFonts w:ascii="Arial" w:eastAsia="宋体" w:hAnsi="Arial" w:cs="Arial"/>
                <w:bCs/>
                <w:sz w:val="20"/>
              </w:rPr>
              <w:t>determined/provided</w:t>
            </w:r>
            <w:proofErr w:type="gramEnd"/>
            <w:r w:rsidRPr="004825FB">
              <w:rPr>
                <w:rFonts w:ascii="Arial" w:eastAsia="宋体" w:hAnsi="Arial" w:cs="Arial"/>
                <w:bCs/>
                <w:sz w:val="20"/>
              </w:rPr>
              <w:t xml:space="preserve"> by higher layers. The priority of NR PSFCH is the same as the corresponding PSSCH. </w:t>
            </w:r>
          </w:p>
          <w:p w:rsidR="004825FB" w:rsidRPr="004825FB" w:rsidRDefault="004825FB" w:rsidP="004825FB">
            <w:pPr>
              <w:autoSpaceDE/>
              <w:autoSpaceDN/>
              <w:adjustRightInd/>
              <w:spacing w:after="120"/>
              <w:rPr>
                <w:rFonts w:ascii="Arial" w:eastAsia="宋体" w:hAnsi="Arial" w:cs="Arial"/>
                <w:sz w:val="20"/>
              </w:rPr>
            </w:pPr>
            <w:r w:rsidRPr="004825FB">
              <w:rPr>
                <w:rFonts w:ascii="Arial" w:eastAsia="宋体" w:hAnsi="Arial" w:cs="Arial"/>
                <w:sz w:val="20"/>
              </w:rPr>
              <w:t xml:space="preserve">Question 3: Is it the case that there is no higher priority for LTE SL than NR SL? </w:t>
            </w:r>
          </w:p>
          <w:p w:rsidR="004825FB" w:rsidRPr="004825FB" w:rsidRDefault="004825FB" w:rsidP="004825FB">
            <w:pPr>
              <w:autoSpaceDE/>
              <w:autoSpaceDN/>
              <w:adjustRightInd/>
              <w:spacing w:after="120"/>
              <w:rPr>
                <w:rFonts w:ascii="Arial" w:eastAsia="宋体" w:hAnsi="Arial" w:cs="Arial"/>
                <w:bCs/>
                <w:sz w:val="20"/>
              </w:rPr>
            </w:pPr>
            <w:r w:rsidRPr="004825FB">
              <w:rPr>
                <w:rFonts w:ascii="Arial" w:eastAsia="宋体" w:hAnsi="Arial" w:cs="Arial"/>
                <w:bCs/>
                <w:sz w:val="20"/>
              </w:rPr>
              <w:t>[RAN1 reply]</w:t>
            </w:r>
            <w:r w:rsidRPr="004825FB">
              <w:rPr>
                <w:sz w:val="20"/>
              </w:rPr>
              <w:t xml:space="preserve"> </w:t>
            </w:r>
            <w:r w:rsidRPr="004825FB">
              <w:rPr>
                <w:rFonts w:ascii="Arial" w:eastAsia="宋体" w:hAnsi="Arial" w:cs="Arial"/>
                <w:bCs/>
                <w:sz w:val="20"/>
              </w:rPr>
              <w:t>No. In RAN1#98 meeting, the following agreement was made, where PPPP is represented in the “Priority” field of an SCI format 1 in LTE:</w:t>
            </w:r>
          </w:p>
          <w:p w:rsidR="002A7F14" w:rsidRPr="004825FB" w:rsidRDefault="004825FB" w:rsidP="004825FB">
            <w:pPr>
              <w:autoSpaceDE/>
              <w:autoSpaceDN/>
              <w:adjustRightInd/>
              <w:spacing w:after="120"/>
              <w:rPr>
                <w:rFonts w:ascii="Arial" w:eastAsia="宋体" w:hAnsi="Arial" w:cs="Arial"/>
              </w:rPr>
            </w:pPr>
            <w:r>
              <w:rPr>
                <w:rFonts w:ascii="Times" w:eastAsia="Batang" w:hAnsi="Times"/>
                <w:noProof/>
                <w:lang w:val="en-US"/>
              </w:rPr>
              <mc:AlternateContent>
                <mc:Choice Requires="wps">
                  <w:drawing>
                    <wp:inline distT="0" distB="0" distL="0" distR="0" wp14:anchorId="17DD793E" wp14:editId="26810B34">
                      <wp:extent cx="5993765" cy="556895"/>
                      <wp:effectExtent l="8890" t="12065" r="7620" b="1206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556895"/>
                              </a:xfrm>
                              <a:prstGeom prst="rect">
                                <a:avLst/>
                              </a:prstGeom>
                              <a:solidFill>
                                <a:srgbClr val="FFFFFF"/>
                              </a:solidFill>
                              <a:ln w="9525">
                                <a:solidFill>
                                  <a:srgbClr val="000000"/>
                                </a:solidFill>
                                <a:miter lim="800000"/>
                                <a:headEnd/>
                                <a:tailEnd/>
                              </a:ln>
                            </wps:spPr>
                            <wps:txbx>
                              <w:txbxContent>
                                <w:p w:rsidR="004825FB" w:rsidRPr="006D5024" w:rsidRDefault="004825FB" w:rsidP="004825FB">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rsidR="004825FB" w:rsidRPr="006D5024" w:rsidRDefault="004825FB" w:rsidP="004825FB">
                                  <w:pPr>
                                    <w:widowControl w:val="0"/>
                                    <w:numPr>
                                      <w:ilvl w:val="0"/>
                                      <w:numId w:val="50"/>
                                    </w:numPr>
                                    <w:overflowPunct/>
                                    <w:autoSpaceDE/>
                                    <w:autoSpaceDN/>
                                    <w:adjustRightInd/>
                                    <w:spacing w:before="0" w:after="0"/>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471.9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">
                      <v:textbox style="mso-fit-shape-to-text:t">
                        <w:txbxContent>
                          <w:p w:rsidR="004825FB" w:rsidRPr="006D5024" w:rsidRDefault="004825FB" w:rsidP="004825FB">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rsidR="004825FB" w:rsidRPr="006D5024" w:rsidRDefault="004825FB" w:rsidP="004825FB">
                            <w:pPr>
                              <w:widowControl w:val="0"/>
                              <w:numPr>
                                <w:ilvl w:val="0"/>
                                <w:numId w:val="50"/>
                              </w:numPr>
                              <w:overflowPunct/>
                              <w:autoSpaceDE/>
                              <w:autoSpaceDN/>
                              <w:adjustRightInd/>
                              <w:spacing w:before="0" w:after="0"/>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v:textbox>
                      <w10:anchorlock/>
                    </v:shape>
                  </w:pict>
                </mc:Fallback>
              </mc:AlternateContent>
            </w:r>
          </w:p>
        </w:tc>
      </w:tr>
    </w:tbl>
    <w:p w:rsidR="004540D0" w:rsidRDefault="004540D0" w:rsidP="007A6DFC">
      <w:pPr>
        <w:spacing w:before="0" w:after="120"/>
        <w:jc w:val="left"/>
        <w:rPr>
          <w:sz w:val="20"/>
        </w:rPr>
      </w:pPr>
    </w:p>
    <w:p w:rsidR="0049152A" w:rsidRPr="00D845AF" w:rsidRDefault="009C535D" w:rsidP="004540D0">
      <w:pPr>
        <w:spacing w:before="0" w:after="120"/>
        <w:jc w:val="left"/>
        <w:rPr>
          <w:sz w:val="20"/>
        </w:rPr>
      </w:pPr>
      <w:r>
        <w:rPr>
          <w:rFonts w:hint="eastAsia"/>
          <w:sz w:val="20"/>
        </w:rPr>
        <w:t>Based on the agreements made in RAN4#97e meeting, RAN4 will not specify RF switching time requirements and no RF test</w:t>
      </w:r>
      <w:r w:rsidR="004540D0">
        <w:rPr>
          <w:rFonts w:hint="eastAsia"/>
          <w:sz w:val="20"/>
        </w:rPr>
        <w:t xml:space="preserve"> is needed to verify the maximum </w:t>
      </w:r>
      <w:proofErr w:type="spellStart"/>
      <w:r w:rsidR="004540D0">
        <w:rPr>
          <w:rFonts w:hint="eastAsia"/>
          <w:sz w:val="20"/>
        </w:rPr>
        <w:t>sidelink</w:t>
      </w:r>
      <w:proofErr w:type="spellEnd"/>
      <w:r w:rsidR="004540D0">
        <w:rPr>
          <w:rFonts w:hint="eastAsia"/>
          <w:sz w:val="20"/>
        </w:rPr>
        <w:t xml:space="preserve"> switching time [3]. The remaining issue is the switching period position.</w:t>
      </w:r>
      <w:r w:rsidR="00E121F6">
        <w:rPr>
          <w:rFonts w:hint="eastAsia"/>
          <w:sz w:val="20"/>
        </w:rPr>
        <w:t xml:space="preserve"> </w:t>
      </w:r>
      <w:r w:rsidR="006D3EEB">
        <w:rPr>
          <w:rFonts w:hint="eastAsia"/>
          <w:sz w:val="20"/>
        </w:rPr>
        <w:t>To clarify the priority issue betw</w:t>
      </w:r>
      <w:r w:rsidR="00707705">
        <w:rPr>
          <w:rFonts w:hint="eastAsia"/>
          <w:sz w:val="20"/>
        </w:rPr>
        <w:t>een LTE V2X and NR V2X from RAN1</w:t>
      </w:r>
      <w:r w:rsidR="006D3EEB">
        <w:rPr>
          <w:rFonts w:hint="eastAsia"/>
          <w:sz w:val="20"/>
        </w:rPr>
        <w:t xml:space="preserve"> perspective, </w:t>
      </w:r>
      <w:proofErr w:type="gramStart"/>
      <w:r w:rsidR="006D3EEB">
        <w:rPr>
          <w:rFonts w:hint="eastAsia"/>
          <w:sz w:val="20"/>
        </w:rPr>
        <w:t>an LS</w:t>
      </w:r>
      <w:proofErr w:type="gramEnd"/>
      <w:r w:rsidR="006D3EEB">
        <w:rPr>
          <w:rFonts w:hint="eastAsia"/>
          <w:sz w:val="20"/>
        </w:rPr>
        <w:t xml:space="preserve"> was agreed and sent to RAN1</w:t>
      </w:r>
      <w:r w:rsidR="00707705">
        <w:rPr>
          <w:rFonts w:hint="eastAsia"/>
          <w:sz w:val="20"/>
        </w:rPr>
        <w:t xml:space="preserve">. </w:t>
      </w:r>
      <w:r w:rsidR="00885C59">
        <w:rPr>
          <w:rFonts w:hint="eastAsia"/>
          <w:sz w:val="20"/>
        </w:rPr>
        <w:t>As per</w:t>
      </w:r>
      <w:r w:rsidR="00707705">
        <w:rPr>
          <w:rFonts w:hint="eastAsia"/>
          <w:sz w:val="20"/>
        </w:rPr>
        <w:t xml:space="preserve"> the reply LS from RAN1, there is priority definition for LTE</w:t>
      </w:r>
      <w:r w:rsidR="00885C59">
        <w:rPr>
          <w:rFonts w:hint="eastAsia"/>
          <w:sz w:val="20"/>
        </w:rPr>
        <w:t xml:space="preserve"> V2X and NR V2X in RAN1 even though the priority information is indicated by different means for LTE V2X and NR V2X. Also, the priority of LTE V2X and NR V2X can be directly comparable. With the above observation, i</w:t>
      </w:r>
      <w:r w:rsidR="0049152A">
        <w:rPr>
          <w:rFonts w:hint="eastAsia"/>
          <w:sz w:val="20"/>
        </w:rPr>
        <w:t xml:space="preserve">t is </w:t>
      </w:r>
      <w:r w:rsidR="00885C59">
        <w:rPr>
          <w:rFonts w:hint="eastAsia"/>
          <w:sz w:val="20"/>
        </w:rPr>
        <w:t xml:space="preserve">thus </w:t>
      </w:r>
      <w:r w:rsidR="0049152A">
        <w:rPr>
          <w:rFonts w:hint="eastAsia"/>
          <w:sz w:val="20"/>
        </w:rPr>
        <w:t xml:space="preserve">proposed to locate the switching period on the RAT side with lower priority. If LTE V2X and NR V2X have the same priority, </w:t>
      </w:r>
      <w:r w:rsidR="0049152A" w:rsidRPr="0049152A">
        <w:rPr>
          <w:rFonts w:hint="eastAsia"/>
          <w:sz w:val="20"/>
        </w:rPr>
        <w:t>the switching period position can be left to UE implementation.</w:t>
      </w:r>
    </w:p>
    <w:p w:rsidR="00F6756F" w:rsidRPr="00F6756F" w:rsidRDefault="00F6756F" w:rsidP="004540D0">
      <w:pPr>
        <w:spacing w:before="0" w:after="120"/>
        <w:jc w:val="left"/>
        <w:rPr>
          <w:b/>
          <w:sz w:val="20"/>
        </w:rPr>
      </w:pPr>
      <w:r w:rsidRPr="00F6756F">
        <w:rPr>
          <w:rFonts w:hint="eastAsia"/>
          <w:b/>
          <w:sz w:val="20"/>
        </w:rPr>
        <w:t xml:space="preserve">Observation: </w:t>
      </w:r>
      <w:r w:rsidR="00A73691" w:rsidRPr="00A73691">
        <w:rPr>
          <w:b/>
          <w:sz w:val="20"/>
        </w:rPr>
        <w:t>As per the reply LS from RAN1, there is priority definition for LTE V2X and NR V2X in RAN1 even though the priority information is indicated by different means for LTE V2X and NR V2X. Also, the priority of LTE V2X and NR V2X can be directly comparable.</w:t>
      </w:r>
    </w:p>
    <w:p w:rsidR="00E17A5F" w:rsidRDefault="00F6756F" w:rsidP="0049411F">
      <w:pPr>
        <w:spacing w:before="0" w:after="120"/>
        <w:jc w:val="left"/>
        <w:rPr>
          <w:b/>
          <w:sz w:val="20"/>
        </w:rPr>
      </w:pPr>
      <w:r>
        <w:rPr>
          <w:rFonts w:hint="eastAsia"/>
          <w:b/>
          <w:sz w:val="20"/>
        </w:rPr>
        <w:lastRenderedPageBreak/>
        <w:t>P</w:t>
      </w:r>
      <w:r w:rsidR="00E121F6">
        <w:rPr>
          <w:rFonts w:hint="eastAsia"/>
          <w:b/>
          <w:sz w:val="20"/>
        </w:rPr>
        <w:t>roposal</w:t>
      </w:r>
      <w:r w:rsidR="0010364C">
        <w:rPr>
          <w:rFonts w:hint="eastAsia"/>
          <w:b/>
          <w:sz w:val="20"/>
        </w:rPr>
        <w:t xml:space="preserve"> 1</w:t>
      </w:r>
      <w:r w:rsidR="00431F14" w:rsidRPr="00431F14">
        <w:rPr>
          <w:rFonts w:hint="eastAsia"/>
          <w:b/>
          <w:sz w:val="20"/>
        </w:rPr>
        <w:t xml:space="preserve">: </w:t>
      </w:r>
      <w:r>
        <w:rPr>
          <w:rFonts w:hint="eastAsia"/>
          <w:b/>
          <w:sz w:val="20"/>
        </w:rPr>
        <w:t>To locate the switching period on the RAT side with lower priority</w:t>
      </w:r>
      <w:r w:rsidR="0049411F">
        <w:rPr>
          <w:rFonts w:hint="eastAsia"/>
          <w:b/>
          <w:sz w:val="20"/>
        </w:rPr>
        <w:t xml:space="preserve"> based on the priority indication. If LTE V2X and NR V2X have the same </w:t>
      </w:r>
      <w:r w:rsidR="0049411F">
        <w:rPr>
          <w:b/>
          <w:sz w:val="20"/>
        </w:rPr>
        <w:t>priority</w:t>
      </w:r>
      <w:r w:rsidR="0049411F">
        <w:rPr>
          <w:rFonts w:hint="eastAsia"/>
          <w:b/>
          <w:sz w:val="20"/>
        </w:rPr>
        <w:t xml:space="preserve">, </w:t>
      </w:r>
      <w:r w:rsidR="0049411F" w:rsidRPr="00431F14">
        <w:rPr>
          <w:rFonts w:hint="eastAsia"/>
          <w:b/>
          <w:sz w:val="20"/>
        </w:rPr>
        <w:t>the switching period position can be left to UE implementation.</w:t>
      </w:r>
    </w:p>
    <w:p w:rsidR="003719BD" w:rsidRPr="003719BD" w:rsidRDefault="003719BD" w:rsidP="0049411F">
      <w:pPr>
        <w:spacing w:before="0" w:after="120"/>
        <w:jc w:val="left"/>
        <w:rPr>
          <w:sz w:val="20"/>
        </w:rPr>
      </w:pPr>
      <w:r w:rsidRPr="003719BD">
        <w:rPr>
          <w:rFonts w:hint="eastAsia"/>
          <w:sz w:val="20"/>
        </w:rPr>
        <w:t>Based on previous agreements and the above analysis</w:t>
      </w:r>
      <w:r>
        <w:rPr>
          <w:rFonts w:hint="eastAsia"/>
          <w:sz w:val="20"/>
        </w:rPr>
        <w:t>, it is proposed to consider the time mask for LTE V2X and NR V2X switching in Figure 1</w:t>
      </w:r>
      <w:r w:rsidR="005D5705">
        <w:rPr>
          <w:rFonts w:hint="eastAsia"/>
          <w:sz w:val="20"/>
        </w:rPr>
        <w:t>.</w:t>
      </w:r>
    </w:p>
    <w:p w:rsidR="00651203" w:rsidRDefault="003719BD" w:rsidP="003719BD">
      <w:pPr>
        <w:spacing w:before="0" w:after="120"/>
        <w:jc w:val="center"/>
        <w:rPr>
          <w:b/>
          <w:sz w:val="20"/>
        </w:rPr>
      </w:pPr>
      <w:r>
        <w:rPr>
          <w:rFonts w:hint="eastAsia"/>
          <w:b/>
          <w:noProof/>
          <w:sz w:val="20"/>
          <w:lang w:val="en-US"/>
        </w:rPr>
        <w:drawing>
          <wp:inline distT="0" distB="0" distL="0" distR="0">
            <wp:extent cx="5515708" cy="161778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99e.PNG"/>
                    <pic:cNvPicPr/>
                  </pic:nvPicPr>
                  <pic:blipFill>
                    <a:blip r:embed="rId9">
                      <a:extLst>
                        <a:ext uri="{28A0092B-C50C-407E-A947-70E740481C1C}">
                          <a14:useLocalDpi xmlns:a14="http://schemas.microsoft.com/office/drawing/2010/main" val="0"/>
                        </a:ext>
                      </a:extLst>
                    </a:blip>
                    <a:stretch>
                      <a:fillRect/>
                    </a:stretch>
                  </pic:blipFill>
                  <pic:spPr>
                    <a:xfrm>
                      <a:off x="0" y="0"/>
                      <a:ext cx="5516899" cy="1618134"/>
                    </a:xfrm>
                    <a:prstGeom prst="rect">
                      <a:avLst/>
                    </a:prstGeom>
                  </pic:spPr>
                </pic:pic>
              </a:graphicData>
            </a:graphic>
          </wp:inline>
        </w:drawing>
      </w:r>
    </w:p>
    <w:p w:rsidR="00651203" w:rsidRPr="003719BD" w:rsidRDefault="003719BD" w:rsidP="003719BD">
      <w:pPr>
        <w:spacing w:before="0" w:after="120"/>
        <w:jc w:val="center"/>
        <w:rPr>
          <w:sz w:val="20"/>
        </w:rPr>
      </w:pPr>
      <w:r w:rsidRPr="003719BD">
        <w:rPr>
          <w:rFonts w:hint="eastAsia"/>
          <w:sz w:val="20"/>
        </w:rPr>
        <w:t>Figure 1: Time mask for LTE V2X and NR V2X switching</w:t>
      </w:r>
    </w:p>
    <w:p w:rsidR="0010364C" w:rsidRPr="0049411F" w:rsidRDefault="0010364C" w:rsidP="0049411F">
      <w:pPr>
        <w:spacing w:before="0" w:after="120"/>
        <w:jc w:val="left"/>
        <w:rPr>
          <w:b/>
          <w:sz w:val="20"/>
        </w:rPr>
      </w:pPr>
      <w:r>
        <w:rPr>
          <w:rFonts w:hint="eastAsia"/>
          <w:b/>
          <w:sz w:val="20"/>
        </w:rPr>
        <w:t>Proposal 2: To consider the time mask for LTE V2X and NR V2X sw</w:t>
      </w:r>
      <w:r w:rsidR="00651203">
        <w:rPr>
          <w:rFonts w:hint="eastAsia"/>
          <w:b/>
          <w:sz w:val="20"/>
        </w:rPr>
        <w:t>itching in Figure 1.</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784284">
        <w:rPr>
          <w:rFonts w:hint="eastAsia"/>
          <w:sz w:val="20"/>
          <w:lang w:val="en-US"/>
        </w:rPr>
        <w:t xml:space="preserve">further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E121F6">
        <w:rPr>
          <w:rFonts w:hint="eastAsia"/>
          <w:sz w:val="20"/>
          <w:lang w:val="en-US"/>
        </w:rPr>
        <w:t>time mask</w:t>
      </w:r>
      <w:r w:rsidR="002E2133">
        <w:rPr>
          <w:rFonts w:hint="eastAsia"/>
          <w:sz w:val="20"/>
          <w:lang w:val="en-US"/>
        </w:rPr>
        <w:t xml:space="preserve"> </w:t>
      </w:r>
      <w:r w:rsidR="00E121F6">
        <w:rPr>
          <w:rFonts w:hint="eastAsia"/>
          <w:sz w:val="20"/>
          <w:lang w:val="en-US"/>
        </w:rPr>
        <w:t>for LTE V2X and NR V2X switching</w:t>
      </w:r>
      <w:r w:rsidR="007F103C">
        <w:rPr>
          <w:sz w:val="20"/>
          <w:lang w:val="en-US"/>
        </w:rPr>
        <w:t xml:space="preserve"> in ITS band</w:t>
      </w:r>
      <w:r w:rsidR="00784284">
        <w:rPr>
          <w:rFonts w:hint="eastAsia"/>
          <w:sz w:val="20"/>
          <w:lang w:val="en-US"/>
        </w:rPr>
        <w:t xml:space="preserve">. The following </w:t>
      </w:r>
      <w:r w:rsidR="0066656B">
        <w:rPr>
          <w:sz w:val="20"/>
          <w:lang w:val="en-US"/>
        </w:rPr>
        <w:t>observation</w:t>
      </w:r>
      <w:r w:rsidR="0066656B">
        <w:rPr>
          <w:rFonts w:hint="eastAsia"/>
          <w:sz w:val="20"/>
          <w:lang w:val="en-US"/>
        </w:rPr>
        <w:t xml:space="preserve"> and proposal</w:t>
      </w:r>
      <w:r w:rsidR="00651203">
        <w:rPr>
          <w:rFonts w:hint="eastAsia"/>
          <w:sz w:val="20"/>
          <w:lang w:val="en-US"/>
        </w:rPr>
        <w:t>s</w:t>
      </w:r>
      <w:r w:rsidR="007F103C">
        <w:rPr>
          <w:sz w:val="20"/>
          <w:lang w:val="en-US"/>
        </w:rPr>
        <w:t xml:space="preserve"> </w:t>
      </w:r>
      <w:r w:rsidR="00784284">
        <w:rPr>
          <w:rFonts w:hint="eastAsia"/>
          <w:sz w:val="20"/>
          <w:lang w:val="en-US"/>
        </w:rPr>
        <w:t>are derived:</w:t>
      </w:r>
    </w:p>
    <w:p w:rsidR="00D441AD" w:rsidRPr="00F6756F" w:rsidRDefault="00D441AD" w:rsidP="00D441AD">
      <w:pPr>
        <w:spacing w:before="0" w:after="120"/>
        <w:jc w:val="left"/>
        <w:rPr>
          <w:b/>
          <w:sz w:val="20"/>
        </w:rPr>
      </w:pPr>
      <w:r w:rsidRPr="00F6756F">
        <w:rPr>
          <w:rFonts w:hint="eastAsia"/>
          <w:b/>
          <w:sz w:val="20"/>
        </w:rPr>
        <w:t xml:space="preserve">Observation: </w:t>
      </w:r>
      <w:r w:rsidRPr="00A73691">
        <w:rPr>
          <w:b/>
          <w:sz w:val="20"/>
        </w:rPr>
        <w:t>As per the reply LS from RAN1, there is priority definition for LTE V2X and NR V2X in RAN1 even though the priority information is indicated by different means for LTE V2X and NR V2X. Also, the priority of LTE V2X and NR V2X can be directly comparable.</w:t>
      </w:r>
    </w:p>
    <w:p w:rsidR="00D441AD" w:rsidRPr="0049411F" w:rsidRDefault="00D441AD" w:rsidP="00D441AD">
      <w:pPr>
        <w:spacing w:before="0" w:after="120"/>
        <w:jc w:val="left"/>
        <w:rPr>
          <w:b/>
          <w:sz w:val="20"/>
        </w:rPr>
      </w:pPr>
      <w:r>
        <w:rPr>
          <w:rFonts w:hint="eastAsia"/>
          <w:b/>
          <w:sz w:val="20"/>
        </w:rPr>
        <w:t>Proposal</w:t>
      </w:r>
      <w:r w:rsidR="0010364C">
        <w:rPr>
          <w:rFonts w:hint="eastAsia"/>
          <w:b/>
          <w:sz w:val="20"/>
        </w:rPr>
        <w:t xml:space="preserve"> 1</w:t>
      </w:r>
      <w:r w:rsidRPr="00431F14">
        <w:rPr>
          <w:rFonts w:hint="eastAsia"/>
          <w:b/>
          <w:sz w:val="20"/>
        </w:rPr>
        <w:t xml:space="preserve">: </w:t>
      </w:r>
      <w:r>
        <w:rPr>
          <w:rFonts w:hint="eastAsia"/>
          <w:b/>
          <w:sz w:val="20"/>
        </w:rPr>
        <w:t xml:space="preserve">To locate the switching period on the RAT side with lower priority based on the priority indication. If LTE V2X and NR V2X have the same </w:t>
      </w:r>
      <w:r>
        <w:rPr>
          <w:b/>
          <w:sz w:val="20"/>
        </w:rPr>
        <w:t>priority</w:t>
      </w:r>
      <w:r>
        <w:rPr>
          <w:rFonts w:hint="eastAsia"/>
          <w:b/>
          <w:sz w:val="20"/>
        </w:rPr>
        <w:t xml:space="preserve">, </w:t>
      </w:r>
      <w:r w:rsidRPr="00431F14">
        <w:rPr>
          <w:rFonts w:hint="eastAsia"/>
          <w:b/>
          <w:sz w:val="20"/>
        </w:rPr>
        <w:t>the switching period position can be left to UE implementation.</w:t>
      </w:r>
    </w:p>
    <w:p w:rsidR="009928D5" w:rsidRPr="0049411F" w:rsidRDefault="009928D5" w:rsidP="009928D5">
      <w:pPr>
        <w:spacing w:before="0" w:after="120"/>
        <w:jc w:val="left"/>
        <w:rPr>
          <w:b/>
          <w:sz w:val="20"/>
        </w:rPr>
      </w:pPr>
      <w:r>
        <w:rPr>
          <w:rFonts w:hint="eastAsia"/>
          <w:b/>
          <w:sz w:val="20"/>
        </w:rPr>
        <w:t>Proposal 2: To consider the time mask for LTE V2X and NR V2X switching in Figure 1.</w:t>
      </w:r>
    </w:p>
    <w:p w:rsidR="007E1B87" w:rsidRDefault="007E1B87" w:rsidP="007E1B87">
      <w:pPr>
        <w:spacing w:before="0" w:after="120"/>
        <w:jc w:val="center"/>
        <w:rPr>
          <w:b/>
          <w:sz w:val="20"/>
        </w:rPr>
      </w:pPr>
      <w:r>
        <w:rPr>
          <w:rFonts w:hint="eastAsia"/>
          <w:b/>
          <w:noProof/>
          <w:sz w:val="20"/>
          <w:lang w:val="en-US"/>
        </w:rPr>
        <w:drawing>
          <wp:inline distT="0" distB="0" distL="0" distR="0" wp14:anchorId="246031F6" wp14:editId="19697779">
            <wp:extent cx="5515708" cy="161778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99e.PNG"/>
                    <pic:cNvPicPr/>
                  </pic:nvPicPr>
                  <pic:blipFill>
                    <a:blip r:embed="rId9">
                      <a:extLst>
                        <a:ext uri="{28A0092B-C50C-407E-A947-70E740481C1C}">
                          <a14:useLocalDpi xmlns:a14="http://schemas.microsoft.com/office/drawing/2010/main" val="0"/>
                        </a:ext>
                      </a:extLst>
                    </a:blip>
                    <a:stretch>
                      <a:fillRect/>
                    </a:stretch>
                  </pic:blipFill>
                  <pic:spPr>
                    <a:xfrm>
                      <a:off x="0" y="0"/>
                      <a:ext cx="5516899" cy="1618134"/>
                    </a:xfrm>
                    <a:prstGeom prst="rect">
                      <a:avLst/>
                    </a:prstGeom>
                  </pic:spPr>
                </pic:pic>
              </a:graphicData>
            </a:graphic>
          </wp:inline>
        </w:drawing>
      </w:r>
    </w:p>
    <w:p w:rsidR="00D441AD" w:rsidRPr="007E1B87" w:rsidRDefault="007E1B87" w:rsidP="007E1B87">
      <w:pPr>
        <w:spacing w:before="0" w:after="120"/>
        <w:jc w:val="center"/>
        <w:rPr>
          <w:sz w:val="20"/>
        </w:rPr>
      </w:pPr>
      <w:r w:rsidRPr="003719BD">
        <w:rPr>
          <w:rFonts w:hint="eastAsia"/>
          <w:sz w:val="20"/>
        </w:rPr>
        <w:t>Figure 1: Time mask for LTE V2X and NR V2X switching</w:t>
      </w:r>
    </w:p>
    <w:p w:rsidR="00E43D20" w:rsidRPr="004825FB" w:rsidRDefault="00EE45A3" w:rsidP="004825F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431F14" w:rsidRPr="00D441AD" w:rsidRDefault="00E43D20" w:rsidP="00D441AD">
      <w:pPr>
        <w:pStyle w:val="ab"/>
        <w:numPr>
          <w:ilvl w:val="0"/>
          <w:numId w:val="47"/>
        </w:numPr>
        <w:jc w:val="left"/>
        <w:rPr>
          <w:sz w:val="20"/>
        </w:rPr>
      </w:pPr>
      <w:r w:rsidRPr="00E43D20">
        <w:rPr>
          <w:sz w:val="20"/>
        </w:rPr>
        <w:t>R1-2102034</w:t>
      </w:r>
      <w:r w:rsidRPr="00E43D20">
        <w:rPr>
          <w:rFonts w:hint="eastAsia"/>
          <w:sz w:val="20"/>
        </w:rPr>
        <w:t xml:space="preserve">, </w:t>
      </w:r>
      <w:r w:rsidRPr="00E43D20">
        <w:rPr>
          <w:sz w:val="20"/>
        </w:rPr>
        <w:t>Re</w:t>
      </w:r>
      <w:r w:rsidRPr="00E43D20">
        <w:rPr>
          <w:rFonts w:hint="eastAsia"/>
          <w:sz w:val="20"/>
        </w:rPr>
        <w:t>p</w:t>
      </w:r>
      <w:r w:rsidRPr="00E43D20">
        <w:rPr>
          <w:sz w:val="20"/>
        </w:rPr>
        <w:t>ly LS on SL switching priority</w:t>
      </w:r>
      <w:r>
        <w:rPr>
          <w:rFonts w:hint="eastAsia"/>
          <w:sz w:val="20"/>
        </w:rPr>
        <w:t xml:space="preserve">, </w:t>
      </w:r>
      <w:r w:rsidRPr="00E43D20">
        <w:rPr>
          <w:bCs/>
          <w:sz w:val="20"/>
        </w:rPr>
        <w:t>RAN1</w:t>
      </w:r>
      <w:r w:rsidRPr="00E43D20">
        <w:rPr>
          <w:sz w:val="20"/>
        </w:rPr>
        <w:t>#104e</w:t>
      </w:r>
    </w:p>
    <w:sectPr w:rsidR="00431F14" w:rsidRPr="00D441AD"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E71" w:rsidRDefault="00B45E71" w:rsidP="0095591C">
      <w:pPr>
        <w:spacing w:after="60"/>
        <w:ind w:left="210"/>
      </w:pPr>
      <w:r>
        <w:separator/>
      </w:r>
    </w:p>
  </w:endnote>
  <w:endnote w:type="continuationSeparator" w:id="0">
    <w:p w:rsidR="00B45E71" w:rsidRDefault="00B45E7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17BD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E71" w:rsidRDefault="00B45E71" w:rsidP="0095591C">
      <w:pPr>
        <w:spacing w:after="60"/>
        <w:ind w:left="210"/>
      </w:pPr>
      <w:r>
        <w:separator/>
      </w:r>
    </w:p>
  </w:footnote>
  <w:footnote w:type="continuationSeparator" w:id="0">
    <w:p w:rsidR="00B45E71" w:rsidRDefault="00B45E7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1">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E8F33C2"/>
    <w:multiLevelType w:val="hybridMultilevel"/>
    <w:tmpl w:val="906C0A96"/>
    <w:lvl w:ilvl="0" w:tplc="A19455DE">
      <w:start w:val="1"/>
      <w:numFmt w:val="bullet"/>
      <w:lvlText w:val="•"/>
      <w:lvlJc w:val="left"/>
      <w:pPr>
        <w:tabs>
          <w:tab w:val="num" w:pos="720"/>
        </w:tabs>
        <w:ind w:left="720" w:hanging="360"/>
      </w:pPr>
      <w:rPr>
        <w:rFonts w:ascii="Arial" w:hAnsi="Arial" w:hint="default"/>
      </w:rPr>
    </w:lvl>
    <w:lvl w:ilvl="1" w:tplc="856CE9B2" w:tentative="1">
      <w:start w:val="1"/>
      <w:numFmt w:val="bullet"/>
      <w:lvlText w:val="•"/>
      <w:lvlJc w:val="left"/>
      <w:pPr>
        <w:tabs>
          <w:tab w:val="num" w:pos="1440"/>
        </w:tabs>
        <w:ind w:left="1440" w:hanging="360"/>
      </w:pPr>
      <w:rPr>
        <w:rFonts w:ascii="Arial" w:hAnsi="Arial" w:hint="default"/>
      </w:rPr>
    </w:lvl>
    <w:lvl w:ilvl="2" w:tplc="DDF22172" w:tentative="1">
      <w:start w:val="1"/>
      <w:numFmt w:val="bullet"/>
      <w:lvlText w:val="•"/>
      <w:lvlJc w:val="left"/>
      <w:pPr>
        <w:tabs>
          <w:tab w:val="num" w:pos="2160"/>
        </w:tabs>
        <w:ind w:left="2160" w:hanging="360"/>
      </w:pPr>
      <w:rPr>
        <w:rFonts w:ascii="Arial" w:hAnsi="Arial" w:hint="default"/>
      </w:rPr>
    </w:lvl>
    <w:lvl w:ilvl="3" w:tplc="8E4444D0" w:tentative="1">
      <w:start w:val="1"/>
      <w:numFmt w:val="bullet"/>
      <w:lvlText w:val="•"/>
      <w:lvlJc w:val="left"/>
      <w:pPr>
        <w:tabs>
          <w:tab w:val="num" w:pos="2880"/>
        </w:tabs>
        <w:ind w:left="2880" w:hanging="360"/>
      </w:pPr>
      <w:rPr>
        <w:rFonts w:ascii="Arial" w:hAnsi="Arial" w:hint="default"/>
      </w:rPr>
    </w:lvl>
    <w:lvl w:ilvl="4" w:tplc="538EE5A4" w:tentative="1">
      <w:start w:val="1"/>
      <w:numFmt w:val="bullet"/>
      <w:lvlText w:val="•"/>
      <w:lvlJc w:val="left"/>
      <w:pPr>
        <w:tabs>
          <w:tab w:val="num" w:pos="3600"/>
        </w:tabs>
        <w:ind w:left="3600" w:hanging="360"/>
      </w:pPr>
      <w:rPr>
        <w:rFonts w:ascii="Arial" w:hAnsi="Arial" w:hint="default"/>
      </w:rPr>
    </w:lvl>
    <w:lvl w:ilvl="5" w:tplc="4C84D16C" w:tentative="1">
      <w:start w:val="1"/>
      <w:numFmt w:val="bullet"/>
      <w:lvlText w:val="•"/>
      <w:lvlJc w:val="left"/>
      <w:pPr>
        <w:tabs>
          <w:tab w:val="num" w:pos="4320"/>
        </w:tabs>
        <w:ind w:left="4320" w:hanging="360"/>
      </w:pPr>
      <w:rPr>
        <w:rFonts w:ascii="Arial" w:hAnsi="Arial" w:hint="default"/>
      </w:rPr>
    </w:lvl>
    <w:lvl w:ilvl="6" w:tplc="CA84C248" w:tentative="1">
      <w:start w:val="1"/>
      <w:numFmt w:val="bullet"/>
      <w:lvlText w:val="•"/>
      <w:lvlJc w:val="left"/>
      <w:pPr>
        <w:tabs>
          <w:tab w:val="num" w:pos="5040"/>
        </w:tabs>
        <w:ind w:left="5040" w:hanging="360"/>
      </w:pPr>
      <w:rPr>
        <w:rFonts w:ascii="Arial" w:hAnsi="Arial" w:hint="default"/>
      </w:rPr>
    </w:lvl>
    <w:lvl w:ilvl="7" w:tplc="F0905B42" w:tentative="1">
      <w:start w:val="1"/>
      <w:numFmt w:val="bullet"/>
      <w:lvlText w:val="•"/>
      <w:lvlJc w:val="left"/>
      <w:pPr>
        <w:tabs>
          <w:tab w:val="num" w:pos="5760"/>
        </w:tabs>
        <w:ind w:left="5760" w:hanging="360"/>
      </w:pPr>
      <w:rPr>
        <w:rFonts w:ascii="Arial" w:hAnsi="Arial" w:hint="default"/>
      </w:rPr>
    </w:lvl>
    <w:lvl w:ilvl="8" w:tplc="5434E16E"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7">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3">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5">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6FC17EFB"/>
    <w:multiLevelType w:val="hybridMultilevel"/>
    <w:tmpl w:val="8F0660A2"/>
    <w:lvl w:ilvl="0" w:tplc="93E4F8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4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5"/>
  </w:num>
  <w:num w:numId="4">
    <w:abstractNumId w:val="28"/>
  </w:num>
  <w:num w:numId="5">
    <w:abstractNumId w:val="15"/>
  </w:num>
  <w:num w:numId="6">
    <w:abstractNumId w:val="43"/>
  </w:num>
  <w:num w:numId="7">
    <w:abstractNumId w:val="8"/>
  </w:num>
  <w:num w:numId="8">
    <w:abstractNumId w:val="30"/>
  </w:num>
  <w:num w:numId="9">
    <w:abstractNumId w:val="19"/>
  </w:num>
  <w:num w:numId="10">
    <w:abstractNumId w:val="38"/>
  </w:num>
  <w:num w:numId="11">
    <w:abstractNumId w:val="44"/>
  </w:num>
  <w:num w:numId="12">
    <w:abstractNumId w:val="46"/>
  </w:num>
  <w:num w:numId="13">
    <w:abstractNumId w:val="22"/>
  </w:num>
  <w:num w:numId="14">
    <w:abstractNumId w:val="24"/>
  </w:num>
  <w:num w:numId="15">
    <w:abstractNumId w:val="18"/>
  </w:num>
  <w:num w:numId="16">
    <w:abstractNumId w:val="36"/>
  </w:num>
  <w:num w:numId="17">
    <w:abstractNumId w:val="0"/>
  </w:num>
  <w:num w:numId="18">
    <w:abstractNumId w:val="42"/>
  </w:num>
  <w:num w:numId="19">
    <w:abstractNumId w:val="49"/>
  </w:num>
  <w:num w:numId="20">
    <w:abstractNumId w:val="25"/>
  </w:num>
  <w:num w:numId="21">
    <w:abstractNumId w:val="39"/>
  </w:num>
  <w:num w:numId="22">
    <w:abstractNumId w:val="48"/>
  </w:num>
  <w:num w:numId="23">
    <w:abstractNumId w:val="3"/>
  </w:num>
  <w:num w:numId="24">
    <w:abstractNumId w:val="14"/>
  </w:num>
  <w:num w:numId="25">
    <w:abstractNumId w:val="32"/>
  </w:num>
  <w:num w:numId="26">
    <w:abstractNumId w:val="10"/>
  </w:num>
  <w:num w:numId="27">
    <w:abstractNumId w:val="2"/>
  </w:num>
  <w:num w:numId="28">
    <w:abstractNumId w:val="40"/>
  </w:num>
  <w:num w:numId="29">
    <w:abstractNumId w:val="27"/>
  </w:num>
  <w:num w:numId="30">
    <w:abstractNumId w:val="7"/>
  </w:num>
  <w:num w:numId="31">
    <w:abstractNumId w:val="13"/>
  </w:num>
  <w:num w:numId="32">
    <w:abstractNumId w:val="11"/>
  </w:num>
  <w:num w:numId="33">
    <w:abstractNumId w:val="45"/>
  </w:num>
  <w:num w:numId="34">
    <w:abstractNumId w:val="29"/>
  </w:num>
  <w:num w:numId="35">
    <w:abstractNumId w:val="4"/>
  </w:num>
  <w:num w:numId="36">
    <w:abstractNumId w:val="12"/>
  </w:num>
  <w:num w:numId="37">
    <w:abstractNumId w:val="35"/>
  </w:num>
  <w:num w:numId="38">
    <w:abstractNumId w:val="26"/>
  </w:num>
  <w:num w:numId="39">
    <w:abstractNumId w:val="16"/>
  </w:num>
  <w:num w:numId="40">
    <w:abstractNumId w:val="1"/>
  </w:num>
  <w:num w:numId="41">
    <w:abstractNumId w:val="6"/>
  </w:num>
  <w:num w:numId="42">
    <w:abstractNumId w:val="34"/>
  </w:num>
  <w:num w:numId="43">
    <w:abstractNumId w:val="47"/>
  </w:num>
  <w:num w:numId="44">
    <w:abstractNumId w:val="41"/>
  </w:num>
  <w:num w:numId="45">
    <w:abstractNumId w:val="37"/>
  </w:num>
  <w:num w:numId="46">
    <w:abstractNumId w:val="17"/>
  </w:num>
  <w:num w:numId="47">
    <w:abstractNumId w:val="20"/>
  </w:num>
  <w:num w:numId="48">
    <w:abstractNumId w:val="23"/>
  </w:num>
  <w:num w:numId="49">
    <w:abstractNumId w:val="33"/>
  </w:num>
  <w:num w:numId="5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64C"/>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C84"/>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2B11"/>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74F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7B2"/>
    <w:rsid w:val="00276AD5"/>
    <w:rsid w:val="00276AFC"/>
    <w:rsid w:val="00277607"/>
    <w:rsid w:val="002800A9"/>
    <w:rsid w:val="0028041A"/>
    <w:rsid w:val="00281149"/>
    <w:rsid w:val="00282A0D"/>
    <w:rsid w:val="002836DA"/>
    <w:rsid w:val="00283834"/>
    <w:rsid w:val="0028427E"/>
    <w:rsid w:val="00286999"/>
    <w:rsid w:val="002870BD"/>
    <w:rsid w:val="002900B2"/>
    <w:rsid w:val="00290653"/>
    <w:rsid w:val="002911CD"/>
    <w:rsid w:val="002911D9"/>
    <w:rsid w:val="00291EEE"/>
    <w:rsid w:val="0029264F"/>
    <w:rsid w:val="002928FA"/>
    <w:rsid w:val="00292D36"/>
    <w:rsid w:val="0029431D"/>
    <w:rsid w:val="00294467"/>
    <w:rsid w:val="00294774"/>
    <w:rsid w:val="002947F5"/>
    <w:rsid w:val="002948E7"/>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A7F14"/>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27E0"/>
    <w:rsid w:val="002C3463"/>
    <w:rsid w:val="002C38EC"/>
    <w:rsid w:val="002C4448"/>
    <w:rsid w:val="002C492D"/>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133"/>
    <w:rsid w:val="002E2649"/>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CF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571E"/>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9BD"/>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F14"/>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0D0"/>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61B"/>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5F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52A"/>
    <w:rsid w:val="004919C4"/>
    <w:rsid w:val="00491D27"/>
    <w:rsid w:val="0049204F"/>
    <w:rsid w:val="0049205D"/>
    <w:rsid w:val="00492D70"/>
    <w:rsid w:val="0049332F"/>
    <w:rsid w:val="0049411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551E"/>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885"/>
    <w:rsid w:val="004D6D2E"/>
    <w:rsid w:val="004D744C"/>
    <w:rsid w:val="004D7D7F"/>
    <w:rsid w:val="004E1A85"/>
    <w:rsid w:val="004E1A9D"/>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17DCD"/>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BDD"/>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1842"/>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705"/>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203"/>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56B"/>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5ED2"/>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3EEB"/>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E65"/>
    <w:rsid w:val="006F6E90"/>
    <w:rsid w:val="006F6F89"/>
    <w:rsid w:val="006F7346"/>
    <w:rsid w:val="006F78ED"/>
    <w:rsid w:val="006F7D9D"/>
    <w:rsid w:val="007013B6"/>
    <w:rsid w:val="00701B01"/>
    <w:rsid w:val="007043FD"/>
    <w:rsid w:val="00704735"/>
    <w:rsid w:val="00704AA4"/>
    <w:rsid w:val="00704D95"/>
    <w:rsid w:val="00705D5C"/>
    <w:rsid w:val="00707217"/>
    <w:rsid w:val="00707705"/>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13C"/>
    <w:rsid w:val="007314D5"/>
    <w:rsid w:val="00731EEA"/>
    <w:rsid w:val="0073218D"/>
    <w:rsid w:val="007321AC"/>
    <w:rsid w:val="00732282"/>
    <w:rsid w:val="007327B6"/>
    <w:rsid w:val="007328B5"/>
    <w:rsid w:val="0073321A"/>
    <w:rsid w:val="00734A4C"/>
    <w:rsid w:val="00734E75"/>
    <w:rsid w:val="00735C16"/>
    <w:rsid w:val="00736031"/>
    <w:rsid w:val="007362CE"/>
    <w:rsid w:val="007363FF"/>
    <w:rsid w:val="00736CE3"/>
    <w:rsid w:val="007377E2"/>
    <w:rsid w:val="00737DB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DFC"/>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B87"/>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17BDF"/>
    <w:rsid w:val="008206B7"/>
    <w:rsid w:val="00820C0B"/>
    <w:rsid w:val="00820D09"/>
    <w:rsid w:val="008232A5"/>
    <w:rsid w:val="00824316"/>
    <w:rsid w:val="008244EB"/>
    <w:rsid w:val="00824AE2"/>
    <w:rsid w:val="0082545E"/>
    <w:rsid w:val="008260C3"/>
    <w:rsid w:val="00826E72"/>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218"/>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1EB6"/>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5C5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416"/>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53"/>
    <w:rsid w:val="00991834"/>
    <w:rsid w:val="00991C56"/>
    <w:rsid w:val="009928D5"/>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0F6C"/>
    <w:rsid w:val="009B1238"/>
    <w:rsid w:val="009B1329"/>
    <w:rsid w:val="009B1989"/>
    <w:rsid w:val="009B19BA"/>
    <w:rsid w:val="009B2C69"/>
    <w:rsid w:val="009B2DD1"/>
    <w:rsid w:val="009B3479"/>
    <w:rsid w:val="009B4738"/>
    <w:rsid w:val="009B561A"/>
    <w:rsid w:val="009B5788"/>
    <w:rsid w:val="009B5C6D"/>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35D"/>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DE1"/>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29C7"/>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691"/>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22A"/>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299"/>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7D3"/>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C2B"/>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AB0"/>
    <w:rsid w:val="00B20BB4"/>
    <w:rsid w:val="00B20DE1"/>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5E71"/>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2E4"/>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6FB"/>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265"/>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0BF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C61"/>
    <w:rsid w:val="00D02D6C"/>
    <w:rsid w:val="00D02DA2"/>
    <w:rsid w:val="00D03056"/>
    <w:rsid w:val="00D039FD"/>
    <w:rsid w:val="00D03B11"/>
    <w:rsid w:val="00D03C28"/>
    <w:rsid w:val="00D04F06"/>
    <w:rsid w:val="00D050BC"/>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27695"/>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1AD"/>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5AF"/>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DA7"/>
    <w:rsid w:val="00E07E95"/>
    <w:rsid w:val="00E11482"/>
    <w:rsid w:val="00E119AB"/>
    <w:rsid w:val="00E121F6"/>
    <w:rsid w:val="00E12239"/>
    <w:rsid w:val="00E12464"/>
    <w:rsid w:val="00E1260E"/>
    <w:rsid w:val="00E12DF4"/>
    <w:rsid w:val="00E13C01"/>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3D20"/>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1D5"/>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0CE5"/>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56F"/>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68F"/>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DB0E8-701B-4126-B133-C6C79A2F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2918</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215</cp:revision>
  <cp:lastPrinted>2007-04-24T00:59:00Z</cp:lastPrinted>
  <dcterms:created xsi:type="dcterms:W3CDTF">2020-04-09T06:55:00Z</dcterms:created>
  <dcterms:modified xsi:type="dcterms:W3CDTF">2021-05-11T10:20:00Z</dcterms:modified>
</cp:coreProperties>
</file>